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E9" w:rsidRDefault="00C628E9" w:rsidP="00C628E9">
      <w:pPr>
        <w:pStyle w:val="NormalWeb"/>
        <w:spacing w:line="432" w:lineRule="auto"/>
        <w:rPr>
          <w:rFonts w:ascii="宋体" w:eastAsia="宋体" w:hAnsi="宋体" w:cs="Arial"/>
        </w:rPr>
      </w:pPr>
      <w:r>
        <w:rPr>
          <w:rFonts w:ascii="宋体" w:eastAsia="宋体" w:hAnsi="宋体" w:cs="Arial"/>
        </w:rPr>
        <w:t>附件3：</w:t>
      </w:r>
    </w:p>
    <w:p w:rsidR="00C628E9" w:rsidRDefault="00C628E9" w:rsidP="00C628E9">
      <w:pPr>
        <w:pStyle w:val="NormalWeb"/>
        <w:spacing w:line="432" w:lineRule="auto"/>
        <w:jc w:val="center"/>
        <w:rPr>
          <w:rFonts w:ascii="Arial" w:hAnsi="Arial" w:cs="Arial"/>
        </w:rPr>
      </w:pPr>
      <w:r>
        <w:rPr>
          <w:rStyle w:val="Strong"/>
          <w:rFonts w:ascii="宋体" w:eastAsia="宋体" w:hAnsi="宋体" w:cs="Arial"/>
        </w:rPr>
        <w:t>交通运输业和部分现代服务业营业税改征增值税试点过渡政策的规定</w:t>
      </w:r>
    </w:p>
    <w:p w:rsidR="00C628E9" w:rsidRDefault="00C628E9" w:rsidP="00C628E9">
      <w:pPr>
        <w:pStyle w:val="NormalWeb"/>
        <w:spacing w:line="432" w:lineRule="auto"/>
        <w:rPr>
          <w:rFonts w:ascii="宋体" w:eastAsia="宋体" w:hAnsi="宋体" w:cs="Arial"/>
        </w:rPr>
      </w:pPr>
      <w:r>
        <w:rPr>
          <w:rFonts w:ascii="宋体" w:eastAsia="宋体" w:hAnsi="宋体" w:cs="宋体" w:hint="eastAsia"/>
        </w:rPr>
        <w:t xml:space="preserve">　　</w:t>
      </w:r>
      <w:r>
        <w:rPr>
          <w:rFonts w:ascii="宋体" w:eastAsia="宋体" w:hAnsi="宋体" w:cs="Arial"/>
        </w:rPr>
        <w:t>交通运输</w:t>
      </w:r>
      <w:bookmarkStart w:id="0" w:name="_GoBack"/>
      <w:bookmarkEnd w:id="0"/>
      <w:r>
        <w:rPr>
          <w:rFonts w:ascii="宋体" w:eastAsia="宋体" w:hAnsi="宋体" w:cs="Arial"/>
        </w:rPr>
        <w:t>业和部分现代服务业营业税改征增值税后，为实现试点纳税人（指按照《试点实施办法》缴纳增值税的纳税人）原享受的营业税优惠政策平稳过渡，现将试点期间试点纳税人有关增值税优惠政策规定如下：</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一、下列项目免征增值税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（一）个人转让著作权。</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（二）残疾人个人提供应税服务。</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（三）航空公司提供飞机播洒农药服务。</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（四）试点纳税人提供技术转让、技术开发和与之相关的技术咨询、技术服务。</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1．技术转让，是指转让者将其拥有的专利和非专利技术的所有权或者使用权有偿转让他人的行为；技术开发，是指开发者接受他人委托，就新技术、新产品、新工艺或者新材料及其系统进行研究开发的行为；技术咨询，是指就特定技术项目提供可行性论证、技术预测、专题技术调查、分析评价报告等。</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与技术转让、技术开发相关的技术咨询、技术服务，是指转让方（或受托方）根据技术转让或开发合同的规定，为帮助受让方（或委托方）掌握所转让（或委托开发）的技术，而提供的技术咨询、技术服务业务，且这部分技术咨询、服务的价款与技术转让（或开发）的价款应当开在同一张发票上。</w:t>
      </w:r>
    </w:p>
    <w:p w:rsidR="00C628E9" w:rsidRDefault="00C628E9" w:rsidP="00C628E9">
      <w:pPr>
        <w:pStyle w:val="NormalWeb"/>
        <w:spacing w:line="432" w:lineRule="auto"/>
        <w:rPr>
          <w:rFonts w:ascii="宋体" w:eastAsia="宋体" w:hAnsi="宋体" w:cs="Arial"/>
        </w:rPr>
      </w:pPr>
      <w:r>
        <w:rPr>
          <w:rFonts w:ascii="宋体" w:eastAsia="宋体" w:hAnsi="宋体" w:cs="Arial"/>
        </w:rPr>
        <w:lastRenderedPageBreak/>
        <w:t xml:space="preserve">　　2．审批程序。试点纳税人申请免征增值税时，须持技术转让、开发的书面合同，到试点纳税人所在地省级科技主管部门进行认定，并持有关的书面合同和科技主管部门审核意见证明文件报主管国家税务局备查。</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（五）符合条件的节能服务公司实施合同能源管理项目中提供的应税服务。</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上述“符合条件”是指同时满足下列条件：</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1．节能服务公司实施合同能源管理项目相关技术，应当符合国家质量监督检验检疫总局和国家标准化管理委员会发布的《合同能源管理技术通则》（GB/T24915-2010）规定的技术要求。</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2．节能服务公司与用能企业签订《节能效益分享型》合同，其合同格式和内容，符合《中华人民共和国合同法》和国家质量监督检验检疫总局和国家标准化管理委员会发布的《合同能源管理技术通则》（GB/T24915-2010）等规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（六）自2012年1月1日起至2013年12月31日，注册在上海的企业从事离岸服务外包业务中提供的应税服务。</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从事离岸服务外包业务，是指注册在上海的企业根据境外单位与其签订的委托合同，由本企业或其直接转包的企业为境外提供信息技术外包服务（ITO）、技术性业务流程外包服务（BPO）或技术性知识流程外包服务（KPO）。</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（七）台湾航运公司从事海峡两岸海上直航业务在大陆取得的运输收入。</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台湾航运公司，是指取得交通运输部颁发的“台湾海峡两岸间水路运输许可证”且该许可证上注明的公司登记地址在台湾的航运公司。</w:t>
      </w:r>
    </w:p>
    <w:p w:rsidR="00C628E9" w:rsidRDefault="00C628E9" w:rsidP="00C628E9">
      <w:pPr>
        <w:pStyle w:val="NormalWeb"/>
        <w:spacing w:line="432" w:lineRule="auto"/>
        <w:rPr>
          <w:rFonts w:ascii="宋体" w:eastAsia="宋体" w:hAnsi="宋体" w:cs="Arial"/>
        </w:rPr>
      </w:pPr>
      <w:r>
        <w:rPr>
          <w:rFonts w:ascii="宋体" w:eastAsia="宋体" w:hAnsi="宋体" w:cs="Arial"/>
        </w:rPr>
        <w:lastRenderedPageBreak/>
        <w:t xml:space="preserve">　　（八）台湾航空公司从事海峡两岸空中直航业务在大陆取得的运输收入。</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台湾航空公司，是指取得中国民用航空局颁发的“经营许可”或依据《海峡两岸空运协议》和《海峡两岸空运补充协议》规定，批准经营两岸旅客、货物和邮件不定期（包机）运输业务，且公司登记地址在台湾的航空公司。</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（九）美国ABS船级社在非营利宗旨不变、中国船级社在美国享受同等免税待遇的前提下，在中国境内提供的船检服务。</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（十）随军家属就业。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1.为安置随军家属就业而新开办的企业，自领取税务登记证之日起，其提供的应税服务3年内免征增值税。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享受税收优惠政策的企业，随军家属必须占企业总人数的60%（含）以上，并有军（含）以上政治和后勤机关出具的证明。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2.从事个体经营的随军家属，自领取税务登记证之日起，其提供的应税服务3年内免征增值税。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随军家属必须有师以上政治机关出具的可以表明其身份的证明，但税务部门应当进行相应的审查认定。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主管税务机关在企业或个人享受免税期间，应当对此类企业进行年度检查，凡不符合条件的，取消其免税政策。</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按照上述规定，每一名随军家属可以享受一次免税政策。</w:t>
      </w:r>
    </w:p>
    <w:p w:rsidR="00C628E9" w:rsidRDefault="00C628E9" w:rsidP="00C628E9">
      <w:pPr>
        <w:pStyle w:val="NormalWeb"/>
        <w:spacing w:line="432" w:lineRule="auto"/>
        <w:rPr>
          <w:rFonts w:ascii="宋体" w:eastAsia="宋体" w:hAnsi="宋体" w:cs="Arial"/>
        </w:rPr>
      </w:pPr>
      <w:r>
        <w:rPr>
          <w:rFonts w:ascii="宋体" w:eastAsia="宋体" w:hAnsi="宋体" w:cs="Arial"/>
        </w:rPr>
        <w:lastRenderedPageBreak/>
        <w:t xml:space="preserve">　　（十一）军队转业干部就业。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1．从事个体经营的军队转业干部，经主管税务机关批准，自领取税务登记证之日起，其提供的应税服务3年内免征增值税。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2．为安置自主择业的军队转业干部就业而新开办的企业，凡安置自主择业的军队转业干部占企业总人数60%（含）以上的，经主管税务机关批准，自领取税务登记证之日起，其提供的应税服务3年内免征增值税。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享受上述优惠政策的自主择业的军队转业干部必须持有师以上部队颁发的转业证件。</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（十二）城镇退役士兵就业。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1．为安置自谋职业的城镇退役士兵就业而新办的服务型企业当年新安置自谋职业的城镇退役士兵达到职工总数30%以上，并与其签订1年以上期限劳动合同的，经县级以上民政部门认定、税务机关审核，其提供的应税服务（除广告服务外）3年内免征增值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2．自谋职业的城镇退役士兵从事个体经营的，自领取税务登记证之日起，其提供的应税服务（除广告服务外）3年内免征增值税。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新办的服务型企业，是指《国务院办公厅转发民政部等部门关于扶持城镇退役士兵自谋职业优惠政策意见的通知》（国办发[2004]10号）下发后新组建的企业。原有的企业合并、分立、改制、改组、扩建、搬迁、转产以及吸收新成员、改变领导或隶属关系、改变企业名称的，不能视为新办企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自谋职业的城镇退役士兵，是指符合城镇安置条件，并与安置地民政部门签订《退役士兵自谋职业协议书》，领取《城镇退役士兵自谋职业证》的士官和义务兵。</w:t>
      </w:r>
    </w:p>
    <w:p w:rsidR="00C628E9" w:rsidRDefault="00C628E9" w:rsidP="00C628E9">
      <w:pPr>
        <w:pStyle w:val="NormalWeb"/>
        <w:spacing w:line="432" w:lineRule="auto"/>
        <w:rPr>
          <w:rFonts w:ascii="宋体" w:eastAsia="宋体" w:hAnsi="宋体" w:cs="Arial"/>
        </w:rPr>
      </w:pPr>
      <w:r>
        <w:rPr>
          <w:rFonts w:ascii="宋体" w:eastAsia="宋体" w:hAnsi="宋体" w:cs="Arial"/>
        </w:rPr>
        <w:lastRenderedPageBreak/>
        <w:t xml:space="preserve">　　（十三）失业人员就业。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1．持《就业失业登记证》（注明“自主创业税收政策”或附着《高校毕业生自主创业证》）人员从事个体经营的，在3年内按照每户每年8000元为限额依次扣减其当年实际应缴纳的增值税、城市维护建设税、教育费附加和个人所得税。</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试点纳税人年度应缴纳税款小于上述扣减限额的，以其实际缴纳的税款为限；大于上述扣减限额的，应当以上述扣减限额为限。</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享受优惠政策的个体经营试点纳税人，是指提供《应税服务范围注释》服务（除广告服务外）的试点纳税人。</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持《就业失业登记证》（注明“自主创业税收政策”或附着《高校毕业生自主创业证》）人员是指：（1）在人力资源和社会保障部门公共就业服务机构登记失业半年以上的人员；（2）</w:t>
      </w:r>
      <w:proofErr w:type="gramStart"/>
      <w:r>
        <w:rPr>
          <w:rFonts w:ascii="宋体" w:eastAsia="宋体" w:hAnsi="宋体" w:cs="Arial"/>
        </w:rPr>
        <w:t>零就业</w:t>
      </w:r>
      <w:proofErr w:type="gramEnd"/>
      <w:r>
        <w:rPr>
          <w:rFonts w:ascii="宋体" w:eastAsia="宋体" w:hAnsi="宋体" w:cs="Arial"/>
        </w:rPr>
        <w:t>家庭、享受城市居民最低生活保障家庭劳动年龄内的登记失业人员；（3）毕业年度内高校毕业生。</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高校毕业生，是指实施高等学历教育的普通高等学校、成人高等学校毕业的学生；毕业年度，是指毕业所在自然年，即1月1日至12月31日。</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2．服务型企业（除广告服务外）在新增加的岗位中，当年新招用持《就业失业登记证》（注明“企业吸纳税收政策”）人员，与其签订1年以上期限劳动合同并依法缴纳社会保险费的，在3年内按照实际招用人数予以定额依次扣减增值税、城市维护建设税、教育费附加和企业所得税优惠。定额标准为每人每年4000元，可上下浮动20%，由试点地区省级人民政府根据本地区实际情况在此幅度内确定具体定额标准，并报财政部和国家税务总局备案。</w:t>
      </w:r>
    </w:p>
    <w:p w:rsidR="00C628E9" w:rsidRDefault="00C628E9" w:rsidP="00C628E9">
      <w:pPr>
        <w:pStyle w:val="NormalWeb"/>
        <w:spacing w:line="432" w:lineRule="auto"/>
        <w:rPr>
          <w:rFonts w:ascii="宋体" w:eastAsia="宋体" w:hAnsi="宋体" w:cs="Arial"/>
        </w:rPr>
      </w:pPr>
      <w:r>
        <w:rPr>
          <w:rFonts w:ascii="宋体" w:eastAsia="宋体" w:hAnsi="宋体" w:cs="Arial"/>
        </w:rPr>
        <w:lastRenderedPageBreak/>
        <w:t xml:space="preserve">　　按照上述标准计算的税收扣减额应当在企业当年实际应缴纳的增值税、城市维护建设税、教育费附加和企业所得税税额中扣减，当年扣减不足的，不得结转下年使用。</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持《就业失业登记证》（注明“企业吸纳税收政策”）人员是指：（1）国有企业下岗失业人员；（2）国有企业关闭破产需要安置的人员；（3）国有企业所办集体企业（即厂办大集体企业）下岗职工；（4）享受最低生活保障且失业1年以上的城镇其他登记失业人员。</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服务型企业，是指从事原营业税“服务业”税目范围内业务的企业。</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国有企业所办集体企业（即厂办大集体企业），是指20世纪70、80年代，由国有企业批准或资助兴办的，以安置回城知识青年和国有企业职工子女就业为目的，主要向主办国有企业提供配套产品或劳务服务，在工商行政机关登记注册为集体所有制的企业。厂办大集体企业下岗职工包括在国有企业混</w:t>
      </w:r>
      <w:proofErr w:type="gramStart"/>
      <w:r>
        <w:rPr>
          <w:rFonts w:ascii="宋体" w:eastAsia="宋体" w:hAnsi="宋体" w:cs="Arial"/>
        </w:rPr>
        <w:t>岗工作</w:t>
      </w:r>
      <w:proofErr w:type="gramEnd"/>
      <w:r>
        <w:rPr>
          <w:rFonts w:ascii="宋体" w:eastAsia="宋体" w:hAnsi="宋体" w:cs="Arial"/>
        </w:rPr>
        <w:t>的集体企业下岗职工。</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3．享受上述优惠政策的人员按照下列规定申领《就业失业登记证》、《高校毕业生自主创业证》等凭证：</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1）按照《就业服务与就业管理规定》（中华人民共和国劳动和社会保障部令第28号）第六十三条的规定，在法定劳动年龄内，有劳动能力，有就业要求，处于无业状态的城镇常住人员，在公共就业服务机构进行失业登记，申领《就业失业登记证》。其中，农村进城务工人员和其他非本地户籍人员在常住地稳定就业满6个月的，失业后可以在常住地登记。</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（2）</w:t>
      </w:r>
      <w:proofErr w:type="gramStart"/>
      <w:r>
        <w:rPr>
          <w:rFonts w:ascii="宋体" w:eastAsia="宋体" w:hAnsi="宋体" w:cs="Arial"/>
        </w:rPr>
        <w:t>零就业</w:t>
      </w:r>
      <w:proofErr w:type="gramEnd"/>
      <w:r>
        <w:rPr>
          <w:rFonts w:ascii="宋体" w:eastAsia="宋体" w:hAnsi="宋体" w:cs="Arial"/>
        </w:rPr>
        <w:t>家庭凭社区出具的证明，城镇</w:t>
      </w:r>
      <w:proofErr w:type="gramStart"/>
      <w:r>
        <w:rPr>
          <w:rFonts w:ascii="宋体" w:eastAsia="宋体" w:hAnsi="宋体" w:cs="Arial"/>
        </w:rPr>
        <w:t>低保家庭凭低保证明</w:t>
      </w:r>
      <w:proofErr w:type="gramEnd"/>
      <w:r>
        <w:rPr>
          <w:rFonts w:ascii="宋体" w:eastAsia="宋体" w:hAnsi="宋体" w:cs="Arial"/>
        </w:rPr>
        <w:t>，在公共就业服务机构登记失业，申领《就业失业登记证》。</w:t>
      </w:r>
    </w:p>
    <w:p w:rsidR="00C628E9" w:rsidRDefault="00C628E9" w:rsidP="00C628E9">
      <w:pPr>
        <w:pStyle w:val="NormalWeb"/>
        <w:spacing w:line="432" w:lineRule="auto"/>
        <w:rPr>
          <w:rFonts w:ascii="宋体" w:eastAsia="宋体" w:hAnsi="宋体" w:cs="Arial"/>
        </w:rPr>
      </w:pPr>
      <w:r>
        <w:rPr>
          <w:rFonts w:ascii="宋体" w:eastAsia="宋体" w:hAnsi="宋体" w:cs="Arial"/>
        </w:rPr>
        <w:lastRenderedPageBreak/>
        <w:t xml:space="preserve">　　（3）毕业年度内高校毕业生在校期间凭学校出具的相关证明，经学校所在地省级教育行政部门核实认定，取得《高校毕业生自主创业证》（仅在毕业年度适用），并向创业地公共就业服务机构申请取得《就业失业登记证》；高校毕业生离校后直接向创业地公共就业服务机构申领《就业失业登记证》。</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（4）服务型企业招录的人员，在公共就业服务机构申领《就业失业登记证》。</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（5）《再就业优惠证》不再发放，原持证人员应当到公共就业服务机构换发《就业失业登记证》。正在享受下岗失业人员再就业税收优惠政策的原持证人员，继续享受原税收优惠政策至期满为止。</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6）上述人员申领相关凭证后，由就业和创业地人力资源和社会保障部门对人员范围、就业失业状态、已享受政策情况审核认定，在《就业失业登记证》上注明“自主创业税收政策”或“企业吸纳税收政策”字样，同时符合自主创业和企业吸纳税收政策条件的，可同时加注；主管税务机关在《就业失业登记证》上加盖戳记，注明减免税所属时间。</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4．上述税收优惠政策的审批期限为2011年1月1日至2013年12月31日，以试点纳税人到税务机关办理减免税手续之日起作为优惠政策起始时间。税收优惠政策在2013年12月31日未执行到期的，可继续享受至3年期满为止。</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二、下列项目实行增值税即征即退</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（一）注册在洋山保税港区</w:t>
      </w:r>
      <w:proofErr w:type="gramStart"/>
      <w:r>
        <w:rPr>
          <w:rFonts w:ascii="宋体" w:eastAsia="宋体" w:hAnsi="宋体" w:cs="Arial"/>
        </w:rPr>
        <w:t>内试点</w:t>
      </w:r>
      <w:proofErr w:type="gramEnd"/>
      <w:r>
        <w:rPr>
          <w:rFonts w:ascii="宋体" w:eastAsia="宋体" w:hAnsi="宋体" w:cs="Arial"/>
        </w:rPr>
        <w:t>纳税人提供的国内货物运输服务、仓储服务和装卸搬运服务。</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（二）安置残疾人的单位，实行由税务机关按照单位实际安置残疾人的人数，限额即征即退增值税的办法。</w:t>
      </w:r>
    </w:p>
    <w:p w:rsidR="00C628E9" w:rsidRDefault="00C628E9" w:rsidP="00C628E9">
      <w:pPr>
        <w:pStyle w:val="NormalWeb"/>
        <w:spacing w:line="432" w:lineRule="auto"/>
        <w:rPr>
          <w:rFonts w:ascii="宋体" w:eastAsia="宋体" w:hAnsi="宋体" w:cs="Arial"/>
        </w:rPr>
      </w:pPr>
      <w:r>
        <w:rPr>
          <w:rFonts w:ascii="宋体" w:eastAsia="宋体" w:hAnsi="宋体" w:cs="Arial"/>
        </w:rPr>
        <w:lastRenderedPageBreak/>
        <w:t xml:space="preserve">　　上述政策仅适用于从事原营业税“服务业”税目（广告服务除外）范围内业务取得的收入占其增值税和营业税业务合计收入的比例达到50%的单位。</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有关享受增值税优惠政策单位的条件、定义、管理要求等按照《财政部 国家税务总局关于促进残疾人就业税收优惠政策的通知》（财税[2007]92号）中有关规定执行。</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（三）试点纳税人中的一般纳税人提供管道运输服务，对其增值税实际税负超过3%的部分实行增值税即征即退政策。</w:t>
      </w:r>
    </w:p>
    <w:p w:rsidR="00C628E9" w:rsidRDefault="00C628E9" w:rsidP="00C628E9">
      <w:pPr>
        <w:pStyle w:val="NormalWeb"/>
        <w:spacing w:line="432" w:lineRule="auto"/>
        <w:rPr>
          <w:rFonts w:ascii="宋体" w:eastAsia="宋体" w:hAnsi="宋体" w:cs="Arial"/>
        </w:rPr>
      </w:pPr>
      <w:r>
        <w:rPr>
          <w:rFonts w:ascii="宋体" w:eastAsia="宋体" w:hAnsi="宋体" w:cs="Arial"/>
        </w:rPr>
        <w:t xml:space="preserve">　　（四）经人民银行、银监会、商务部批准经营融资租赁业务的试点纳税人中的一般纳税人提供有形动产融资租赁服务，对其增值税实际税负超过3%的部分实行增值税即征即退政策。</w:t>
      </w:r>
    </w:p>
    <w:p w:rsidR="00980E94" w:rsidRPr="00C628E9" w:rsidRDefault="00C628E9" w:rsidP="00C628E9">
      <w:pPr>
        <w:pStyle w:val="NormalWeb"/>
        <w:spacing w:line="432" w:lineRule="auto"/>
        <w:rPr>
          <w:rFonts w:ascii="Arial" w:hAnsi="Arial" w:cs="Arial"/>
        </w:rPr>
      </w:pPr>
      <w:r>
        <w:rPr>
          <w:rFonts w:ascii="宋体" w:eastAsia="宋体" w:hAnsi="宋体" w:cs="Arial"/>
        </w:rPr>
        <w:t xml:space="preserve">　　三、2011年12月31日（含）前，如果试点纳税人已经按照有关政策规定享受了营业税税收优惠，在剩余税收优惠政策期限内，按照本办法规定享受有关增值税优惠。</w:t>
      </w:r>
    </w:p>
    <w:sectPr w:rsidR="00980E94" w:rsidRPr="00C628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F83" w:rsidRDefault="00714F83" w:rsidP="00B31D13">
      <w:pPr>
        <w:spacing w:after="0"/>
      </w:pPr>
      <w:r>
        <w:separator/>
      </w:r>
    </w:p>
  </w:endnote>
  <w:endnote w:type="continuationSeparator" w:id="0">
    <w:p w:rsidR="00714F83" w:rsidRDefault="00714F83" w:rsidP="00B31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F83" w:rsidRDefault="00714F83" w:rsidP="00B31D13">
      <w:pPr>
        <w:spacing w:after="0"/>
      </w:pPr>
      <w:r>
        <w:separator/>
      </w:r>
    </w:p>
  </w:footnote>
  <w:footnote w:type="continuationSeparator" w:id="0">
    <w:p w:rsidR="00714F83" w:rsidRDefault="00714F83" w:rsidP="00B31D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E9"/>
    <w:rsid w:val="004D50C9"/>
    <w:rsid w:val="00714F83"/>
    <w:rsid w:val="00980E94"/>
    <w:rsid w:val="00AD4618"/>
    <w:rsid w:val="00B31D13"/>
    <w:rsid w:val="00C6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7"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12" w:unhideWhenUsed="0" w:qFormat="1"/>
    <w:lsdException w:name="Intense Quote" w:semiHidden="0" w:uiPriority="13"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1D13"/>
    <w:pPr>
      <w:spacing w:after="120"/>
    </w:pPr>
  </w:style>
  <w:style w:type="paragraph" w:styleId="Heading1">
    <w:name w:val="heading 1"/>
    <w:next w:val="Normal"/>
    <w:link w:val="Heading1Char"/>
    <w:uiPriority w:val="9"/>
    <w:qFormat/>
    <w:rsid w:val="00B31D13"/>
    <w:pPr>
      <w:keepNext/>
      <w:keepLines/>
      <w:spacing w:before="240" w:after="1200"/>
      <w:contextualSpacing/>
      <w:outlineLvl w:val="0"/>
    </w:pPr>
    <w:rPr>
      <w:rFonts w:asciiTheme="majorHAnsi" w:eastAsiaTheme="majorEastAsia" w:hAnsiTheme="majorHAnsi" w:cstheme="majorBidi"/>
      <w:bCs/>
      <w:color w:val="002776" w:themeColor="text2"/>
      <w:sz w:val="60"/>
      <w:szCs w:val="28"/>
    </w:rPr>
  </w:style>
  <w:style w:type="paragraph" w:styleId="Heading2">
    <w:name w:val="heading 2"/>
    <w:next w:val="Normal"/>
    <w:link w:val="Heading2Char"/>
    <w:uiPriority w:val="9"/>
    <w:semiHidden/>
    <w:unhideWhenUsed/>
    <w:qFormat/>
    <w:rsid w:val="00B31D13"/>
    <w:pPr>
      <w:numPr>
        <w:ilvl w:val="1"/>
      </w:numPr>
      <w:spacing w:before="240" w:after="120"/>
      <w:contextualSpacing/>
      <w:outlineLvl w:val="1"/>
    </w:pPr>
    <w:rPr>
      <w:b/>
      <w:color w:val="002776" w:themeColor="text2"/>
      <w:sz w:val="24"/>
      <w:szCs w:val="26"/>
    </w:rPr>
  </w:style>
  <w:style w:type="paragraph" w:styleId="Heading3">
    <w:name w:val="heading 3"/>
    <w:next w:val="Normal"/>
    <w:link w:val="Heading3Char"/>
    <w:uiPriority w:val="9"/>
    <w:semiHidden/>
    <w:unhideWhenUsed/>
    <w:qFormat/>
    <w:rsid w:val="00B31D13"/>
    <w:pPr>
      <w:numPr>
        <w:ilvl w:val="2"/>
      </w:numPr>
      <w:spacing w:before="240" w:after="120"/>
      <w:contextualSpacing/>
      <w:outlineLvl w:val="2"/>
    </w:pPr>
    <w:rPr>
      <w:rFonts w:eastAsiaTheme="majorEastAsia" w:cstheme="majorBidi"/>
      <w:b/>
      <w:bCs/>
      <w:color w:val="3C8A2E" w:themeColor="accent4"/>
      <w:sz w:val="24"/>
      <w:szCs w:val="28"/>
    </w:rPr>
  </w:style>
  <w:style w:type="paragraph" w:styleId="Heading4">
    <w:name w:val="heading 4"/>
    <w:next w:val="Normal"/>
    <w:link w:val="Heading4Char"/>
    <w:uiPriority w:val="9"/>
    <w:semiHidden/>
    <w:unhideWhenUsed/>
    <w:qFormat/>
    <w:rsid w:val="00B31D13"/>
    <w:pPr>
      <w:numPr>
        <w:ilvl w:val="3"/>
      </w:numPr>
      <w:spacing w:before="240" w:after="120"/>
      <w:contextualSpacing/>
      <w:outlineLvl w:val="3"/>
    </w:pPr>
    <w:rPr>
      <w:rFonts w:eastAsiaTheme="majorEastAsia" w:cstheme="majorBidi"/>
      <w:b/>
      <w:bCs/>
      <w:color w:val="00A1DE" w:themeColor="accent1"/>
      <w:sz w:val="24"/>
      <w:szCs w:val="28"/>
    </w:rPr>
  </w:style>
  <w:style w:type="paragraph" w:styleId="Heading5">
    <w:name w:val="heading 5"/>
    <w:next w:val="Normal"/>
    <w:link w:val="Heading5Char"/>
    <w:uiPriority w:val="9"/>
    <w:semiHidden/>
    <w:unhideWhenUsed/>
    <w:qFormat/>
    <w:rsid w:val="00B31D13"/>
    <w:pPr>
      <w:numPr>
        <w:ilvl w:val="4"/>
      </w:numPr>
      <w:spacing w:before="240" w:after="120"/>
      <w:contextualSpacing/>
      <w:outlineLvl w:val="4"/>
    </w:pPr>
    <w:rPr>
      <w:rFonts w:eastAsiaTheme="majorEastAsia" w:cstheme="majorBidi"/>
      <w:b/>
      <w:bCs/>
      <w:color w:val="92D400" w:themeColor="accent2"/>
      <w:sz w:val="24"/>
      <w:szCs w:val="28"/>
    </w:rPr>
  </w:style>
  <w:style w:type="paragraph" w:styleId="Heading6">
    <w:name w:val="heading 6"/>
    <w:next w:val="Normal"/>
    <w:link w:val="Heading6Char"/>
    <w:uiPriority w:val="9"/>
    <w:semiHidden/>
    <w:unhideWhenUsed/>
    <w:qFormat/>
    <w:rsid w:val="00B31D13"/>
    <w:pPr>
      <w:numPr>
        <w:ilvl w:val="5"/>
      </w:numPr>
      <w:spacing w:before="240" w:after="120"/>
      <w:contextualSpacing/>
      <w:outlineLvl w:val="5"/>
    </w:pPr>
    <w:rPr>
      <w:rFonts w:eastAsiaTheme="majorEastAsia" w:cstheme="majorBidi"/>
      <w:b/>
      <w:bCs/>
      <w:color w:val="72C7E7" w:themeColor="accent3"/>
      <w:sz w:val="24"/>
      <w:szCs w:val="28"/>
    </w:rPr>
  </w:style>
  <w:style w:type="paragraph" w:styleId="Heading7">
    <w:name w:val="heading 7"/>
    <w:next w:val="Normal"/>
    <w:link w:val="Heading7Char"/>
    <w:uiPriority w:val="9"/>
    <w:semiHidden/>
    <w:unhideWhenUsed/>
    <w:qFormat/>
    <w:rsid w:val="00B31D13"/>
    <w:pPr>
      <w:numPr>
        <w:ilvl w:val="6"/>
      </w:numPr>
      <w:spacing w:before="240" w:after="120"/>
      <w:contextualSpacing/>
      <w:outlineLvl w:val="6"/>
    </w:pPr>
    <w:rPr>
      <w:rFonts w:eastAsiaTheme="majorEastAsia" w:cstheme="majorBidi"/>
      <w:b/>
      <w:bCs/>
      <w:color w:val="C9DD03" w:themeColor="accent6"/>
      <w:sz w:val="24"/>
      <w:szCs w:val="28"/>
    </w:rPr>
  </w:style>
  <w:style w:type="paragraph" w:styleId="Heading8">
    <w:name w:val="heading 8"/>
    <w:next w:val="Normal"/>
    <w:link w:val="Heading8Char"/>
    <w:uiPriority w:val="9"/>
    <w:semiHidden/>
    <w:unhideWhenUsed/>
    <w:qFormat/>
    <w:rsid w:val="00B31D13"/>
    <w:pPr>
      <w:numPr>
        <w:ilvl w:val="7"/>
      </w:numPr>
      <w:spacing w:before="240" w:after="120"/>
      <w:contextualSpacing/>
      <w:outlineLvl w:val="7"/>
    </w:pPr>
    <w:rPr>
      <w:rFonts w:eastAsiaTheme="majorEastAsia" w:cstheme="majorBidi"/>
      <w:b/>
      <w:bCs/>
      <w:i/>
      <w:sz w:val="24"/>
      <w:szCs w:val="28"/>
    </w:rPr>
  </w:style>
  <w:style w:type="paragraph" w:styleId="Heading9">
    <w:name w:val="heading 9"/>
    <w:next w:val="Normal"/>
    <w:link w:val="Heading9Char"/>
    <w:uiPriority w:val="9"/>
    <w:semiHidden/>
    <w:unhideWhenUsed/>
    <w:qFormat/>
    <w:rsid w:val="00B31D13"/>
    <w:pPr>
      <w:numPr>
        <w:ilvl w:val="8"/>
      </w:numPr>
      <w:spacing w:before="240" w:after="120"/>
      <w:contextualSpacing/>
      <w:outlineLvl w:val="8"/>
    </w:pPr>
    <w:rPr>
      <w:rFonts w:eastAsiaTheme="majorEastAsia" w:cstheme="majorBidi"/>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D13"/>
    <w:rPr>
      <w:rFonts w:asciiTheme="majorHAnsi" w:eastAsiaTheme="majorEastAsia" w:hAnsiTheme="majorHAnsi" w:cstheme="majorBidi"/>
      <w:bCs/>
      <w:color w:val="002776" w:themeColor="text2"/>
      <w:sz w:val="60"/>
      <w:szCs w:val="28"/>
    </w:rPr>
  </w:style>
  <w:style w:type="character" w:customStyle="1" w:styleId="Heading2Char">
    <w:name w:val="Heading 2 Char"/>
    <w:basedOn w:val="DefaultParagraphFont"/>
    <w:link w:val="Heading2"/>
    <w:uiPriority w:val="9"/>
    <w:semiHidden/>
    <w:rsid w:val="00B31D13"/>
    <w:rPr>
      <w:b/>
      <w:color w:val="002776" w:themeColor="text2"/>
      <w:sz w:val="24"/>
      <w:szCs w:val="26"/>
    </w:rPr>
  </w:style>
  <w:style w:type="character" w:customStyle="1" w:styleId="Heading3Char">
    <w:name w:val="Heading 3 Char"/>
    <w:basedOn w:val="DefaultParagraphFont"/>
    <w:link w:val="Heading3"/>
    <w:uiPriority w:val="9"/>
    <w:semiHidden/>
    <w:rsid w:val="00B31D13"/>
    <w:rPr>
      <w:rFonts w:eastAsiaTheme="majorEastAsia" w:cstheme="majorBidi"/>
      <w:b/>
      <w:bCs/>
      <w:color w:val="3C8A2E" w:themeColor="accent4"/>
      <w:sz w:val="24"/>
      <w:szCs w:val="28"/>
    </w:rPr>
  </w:style>
  <w:style w:type="character" w:customStyle="1" w:styleId="Heading4Char">
    <w:name w:val="Heading 4 Char"/>
    <w:basedOn w:val="DefaultParagraphFont"/>
    <w:link w:val="Heading4"/>
    <w:uiPriority w:val="9"/>
    <w:semiHidden/>
    <w:rsid w:val="00B31D13"/>
    <w:rPr>
      <w:rFonts w:eastAsiaTheme="majorEastAsia" w:cstheme="majorBidi"/>
      <w:b/>
      <w:bCs/>
      <w:color w:val="00A1DE" w:themeColor="accent1"/>
      <w:sz w:val="24"/>
      <w:szCs w:val="28"/>
    </w:rPr>
  </w:style>
  <w:style w:type="character" w:customStyle="1" w:styleId="Heading5Char">
    <w:name w:val="Heading 5 Char"/>
    <w:basedOn w:val="DefaultParagraphFont"/>
    <w:link w:val="Heading5"/>
    <w:uiPriority w:val="9"/>
    <w:semiHidden/>
    <w:rsid w:val="00B31D13"/>
    <w:rPr>
      <w:rFonts w:eastAsiaTheme="majorEastAsia" w:cstheme="majorBidi"/>
      <w:b/>
      <w:bCs/>
      <w:color w:val="92D400" w:themeColor="accent2"/>
      <w:sz w:val="24"/>
      <w:szCs w:val="28"/>
    </w:rPr>
  </w:style>
  <w:style w:type="character" w:customStyle="1" w:styleId="Heading6Char">
    <w:name w:val="Heading 6 Char"/>
    <w:basedOn w:val="DefaultParagraphFont"/>
    <w:link w:val="Heading6"/>
    <w:uiPriority w:val="9"/>
    <w:semiHidden/>
    <w:rsid w:val="00B31D13"/>
    <w:rPr>
      <w:rFonts w:eastAsiaTheme="majorEastAsia" w:cstheme="majorBidi"/>
      <w:b/>
      <w:bCs/>
      <w:color w:val="72C7E7" w:themeColor="accent3"/>
      <w:sz w:val="24"/>
      <w:szCs w:val="28"/>
    </w:rPr>
  </w:style>
  <w:style w:type="character" w:customStyle="1" w:styleId="Heading7Char">
    <w:name w:val="Heading 7 Char"/>
    <w:basedOn w:val="DefaultParagraphFont"/>
    <w:link w:val="Heading7"/>
    <w:uiPriority w:val="9"/>
    <w:semiHidden/>
    <w:rsid w:val="00B31D13"/>
    <w:rPr>
      <w:rFonts w:eastAsiaTheme="majorEastAsia" w:cstheme="majorBidi"/>
      <w:b/>
      <w:bCs/>
      <w:color w:val="C9DD03" w:themeColor="accent6"/>
      <w:sz w:val="24"/>
      <w:szCs w:val="28"/>
    </w:rPr>
  </w:style>
  <w:style w:type="character" w:customStyle="1" w:styleId="Heading8Char">
    <w:name w:val="Heading 8 Char"/>
    <w:basedOn w:val="DefaultParagraphFont"/>
    <w:link w:val="Heading8"/>
    <w:uiPriority w:val="9"/>
    <w:semiHidden/>
    <w:rsid w:val="00B31D13"/>
    <w:rPr>
      <w:rFonts w:eastAsiaTheme="majorEastAsia" w:cstheme="majorBidi"/>
      <w:b/>
      <w:bCs/>
      <w:i/>
      <w:sz w:val="24"/>
      <w:szCs w:val="28"/>
    </w:rPr>
  </w:style>
  <w:style w:type="character" w:customStyle="1" w:styleId="Heading9Char">
    <w:name w:val="Heading 9 Char"/>
    <w:basedOn w:val="DefaultParagraphFont"/>
    <w:link w:val="Heading9"/>
    <w:uiPriority w:val="9"/>
    <w:semiHidden/>
    <w:rsid w:val="00B31D13"/>
    <w:rPr>
      <w:rFonts w:eastAsiaTheme="majorEastAsia" w:cstheme="majorBidi"/>
      <w:bCs/>
      <w:i/>
      <w:sz w:val="24"/>
      <w:szCs w:val="28"/>
    </w:rPr>
  </w:style>
  <w:style w:type="paragraph" w:styleId="TOC1">
    <w:name w:val="toc 1"/>
    <w:basedOn w:val="Normal"/>
    <w:next w:val="Normal"/>
    <w:autoRedefine/>
    <w:uiPriority w:val="39"/>
    <w:semiHidden/>
    <w:unhideWhenUsed/>
    <w:qFormat/>
    <w:rsid w:val="00B31D13"/>
  </w:style>
  <w:style w:type="paragraph" w:styleId="TOC2">
    <w:name w:val="toc 2"/>
    <w:basedOn w:val="TOC1"/>
    <w:next w:val="Normal"/>
    <w:autoRedefine/>
    <w:uiPriority w:val="39"/>
    <w:semiHidden/>
    <w:unhideWhenUsed/>
    <w:qFormat/>
    <w:rsid w:val="00B31D13"/>
    <w:pPr>
      <w:ind w:left="142"/>
    </w:pPr>
  </w:style>
  <w:style w:type="paragraph" w:styleId="TOC3">
    <w:name w:val="toc 3"/>
    <w:basedOn w:val="TOC1"/>
    <w:next w:val="Normal"/>
    <w:autoRedefine/>
    <w:uiPriority w:val="39"/>
    <w:semiHidden/>
    <w:unhideWhenUsed/>
    <w:qFormat/>
    <w:rsid w:val="00B31D13"/>
    <w:pPr>
      <w:ind w:left="284"/>
    </w:pPr>
  </w:style>
  <w:style w:type="paragraph" w:styleId="Caption">
    <w:name w:val="caption"/>
    <w:basedOn w:val="Normal"/>
    <w:uiPriority w:val="37"/>
    <w:semiHidden/>
    <w:qFormat/>
    <w:rsid w:val="00B31D13"/>
    <w:pPr>
      <w:spacing w:after="0"/>
    </w:pPr>
    <w:rPr>
      <w:b/>
      <w:bCs/>
      <w:sz w:val="16"/>
      <w:szCs w:val="18"/>
    </w:rPr>
  </w:style>
  <w:style w:type="paragraph" w:styleId="Title">
    <w:name w:val="Title"/>
    <w:next w:val="Subtitle"/>
    <w:link w:val="TitleChar"/>
    <w:uiPriority w:val="10"/>
    <w:qFormat/>
    <w:rsid w:val="00B31D13"/>
    <w:pPr>
      <w:framePr w:wrap="notBeside" w:vAnchor="text" w:hAnchor="text" w:y="1"/>
      <w:spacing w:before="1200" w:after="240"/>
      <w:contextualSpacing/>
    </w:pPr>
    <w:rPr>
      <w:rFonts w:asciiTheme="majorHAnsi" w:eastAsiaTheme="majorEastAsia" w:hAnsiTheme="majorHAnsi" w:cstheme="majorBidi"/>
      <w:bCs/>
      <w:color w:val="002776" w:themeColor="text2"/>
      <w:sz w:val="72"/>
      <w:szCs w:val="28"/>
    </w:rPr>
  </w:style>
  <w:style w:type="character" w:customStyle="1" w:styleId="TitleChar">
    <w:name w:val="Title Char"/>
    <w:basedOn w:val="DefaultParagraphFont"/>
    <w:link w:val="Title"/>
    <w:uiPriority w:val="10"/>
    <w:rsid w:val="00B31D13"/>
    <w:rPr>
      <w:rFonts w:asciiTheme="majorHAnsi" w:eastAsiaTheme="majorEastAsia" w:hAnsiTheme="majorHAnsi" w:cstheme="majorBidi"/>
      <w:bCs/>
      <w:color w:val="002776" w:themeColor="text2"/>
      <w:sz w:val="72"/>
      <w:szCs w:val="28"/>
    </w:rPr>
  </w:style>
  <w:style w:type="paragraph" w:styleId="Subtitle">
    <w:name w:val="Subtitle"/>
    <w:basedOn w:val="Title"/>
    <w:next w:val="Normal"/>
    <w:link w:val="SubtitleChar"/>
    <w:uiPriority w:val="11"/>
    <w:qFormat/>
    <w:rsid w:val="00B31D13"/>
    <w:pPr>
      <w:framePr w:wrap="notBeside"/>
      <w:spacing w:before="0" w:after="1200"/>
    </w:pPr>
    <w:rPr>
      <w:color w:val="92D400" w:themeColor="accent2"/>
    </w:rPr>
  </w:style>
  <w:style w:type="character" w:customStyle="1" w:styleId="SubtitleChar">
    <w:name w:val="Subtitle Char"/>
    <w:basedOn w:val="DefaultParagraphFont"/>
    <w:link w:val="Subtitle"/>
    <w:uiPriority w:val="11"/>
    <w:rsid w:val="00B31D13"/>
    <w:rPr>
      <w:rFonts w:asciiTheme="majorHAnsi" w:eastAsiaTheme="majorEastAsia" w:hAnsiTheme="majorHAnsi" w:cstheme="majorBidi"/>
      <w:bCs/>
      <w:color w:val="92D400" w:themeColor="accent2"/>
      <w:sz w:val="72"/>
      <w:szCs w:val="28"/>
    </w:rPr>
  </w:style>
  <w:style w:type="paragraph" w:styleId="Quote">
    <w:name w:val="Quote"/>
    <w:link w:val="QuoteChar"/>
    <w:uiPriority w:val="12"/>
    <w:qFormat/>
    <w:rsid w:val="00B31D13"/>
    <w:pPr>
      <w:framePr w:wrap="notBeside" w:vAnchor="text" w:hAnchor="text" w:y="1"/>
      <w:spacing w:before="360" w:after="360"/>
      <w:contextualSpacing/>
    </w:pPr>
    <w:rPr>
      <w:rFonts w:asciiTheme="majorHAnsi" w:eastAsiaTheme="majorEastAsia" w:hAnsiTheme="majorHAnsi" w:cstheme="majorBidi"/>
      <w:bCs/>
      <w:color w:val="00A1DE" w:themeColor="accent1"/>
      <w:sz w:val="32"/>
      <w:szCs w:val="28"/>
    </w:rPr>
  </w:style>
  <w:style w:type="character" w:customStyle="1" w:styleId="QuoteChar">
    <w:name w:val="Quote Char"/>
    <w:basedOn w:val="DefaultParagraphFont"/>
    <w:link w:val="Quote"/>
    <w:uiPriority w:val="12"/>
    <w:rsid w:val="00B31D13"/>
    <w:rPr>
      <w:rFonts w:asciiTheme="majorHAnsi" w:eastAsiaTheme="majorEastAsia" w:hAnsiTheme="majorHAnsi" w:cstheme="majorBidi"/>
      <w:bCs/>
      <w:color w:val="00A1DE" w:themeColor="accent1"/>
      <w:sz w:val="32"/>
      <w:szCs w:val="28"/>
    </w:rPr>
  </w:style>
  <w:style w:type="paragraph" w:styleId="IntenseQuote">
    <w:name w:val="Intense Quote"/>
    <w:basedOn w:val="Quote"/>
    <w:link w:val="IntenseQuoteChar"/>
    <w:uiPriority w:val="13"/>
    <w:qFormat/>
    <w:rsid w:val="00B31D13"/>
    <w:pPr>
      <w:framePr w:wrap="notBeside"/>
    </w:pPr>
    <w:rPr>
      <w:color w:val="3C8A2E" w:themeColor="accent4"/>
    </w:rPr>
  </w:style>
  <w:style w:type="character" w:customStyle="1" w:styleId="IntenseQuoteChar">
    <w:name w:val="Intense Quote Char"/>
    <w:basedOn w:val="DefaultParagraphFont"/>
    <w:link w:val="IntenseQuote"/>
    <w:uiPriority w:val="13"/>
    <w:rsid w:val="00B31D13"/>
    <w:rPr>
      <w:rFonts w:asciiTheme="majorHAnsi" w:eastAsiaTheme="majorEastAsia" w:hAnsiTheme="majorHAnsi" w:cstheme="majorBidi"/>
      <w:bCs/>
      <w:color w:val="3C8A2E" w:themeColor="accent4"/>
      <w:sz w:val="32"/>
      <w:szCs w:val="28"/>
    </w:rPr>
  </w:style>
  <w:style w:type="paragraph" w:styleId="TOCHeading">
    <w:name w:val="TOC Heading"/>
    <w:basedOn w:val="Heading1"/>
    <w:next w:val="Normal"/>
    <w:uiPriority w:val="39"/>
    <w:semiHidden/>
    <w:unhideWhenUsed/>
    <w:qFormat/>
    <w:rsid w:val="00B31D13"/>
    <w:pPr>
      <w:outlineLvl w:val="9"/>
    </w:pPr>
    <w:rPr>
      <w:color w:val="00A1DE" w:themeColor="accent1"/>
    </w:rPr>
  </w:style>
  <w:style w:type="paragraph" w:styleId="NormalWeb">
    <w:name w:val="Normal (Web)"/>
    <w:basedOn w:val="Normal"/>
    <w:uiPriority w:val="99"/>
    <w:unhideWhenUsed/>
    <w:rsid w:val="00C628E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628E9"/>
    <w:rPr>
      <w:b/>
      <w:bCs/>
    </w:rPr>
  </w:style>
  <w:style w:type="paragraph" w:styleId="Header">
    <w:name w:val="header"/>
    <w:basedOn w:val="Normal"/>
    <w:link w:val="HeaderChar"/>
    <w:uiPriority w:val="99"/>
    <w:unhideWhenUsed/>
    <w:rsid w:val="004D50C9"/>
    <w:pPr>
      <w:tabs>
        <w:tab w:val="center" w:pos="4320"/>
        <w:tab w:val="right" w:pos="8640"/>
      </w:tabs>
      <w:spacing w:after="0"/>
    </w:pPr>
  </w:style>
  <w:style w:type="character" w:customStyle="1" w:styleId="HeaderChar">
    <w:name w:val="Header Char"/>
    <w:basedOn w:val="DefaultParagraphFont"/>
    <w:link w:val="Header"/>
    <w:uiPriority w:val="99"/>
    <w:rsid w:val="004D50C9"/>
  </w:style>
  <w:style w:type="paragraph" w:styleId="Footer">
    <w:name w:val="footer"/>
    <w:basedOn w:val="Normal"/>
    <w:link w:val="FooterChar"/>
    <w:uiPriority w:val="99"/>
    <w:unhideWhenUsed/>
    <w:rsid w:val="004D50C9"/>
    <w:pPr>
      <w:tabs>
        <w:tab w:val="center" w:pos="4320"/>
        <w:tab w:val="right" w:pos="8640"/>
      </w:tabs>
      <w:spacing w:after="0"/>
    </w:pPr>
  </w:style>
  <w:style w:type="character" w:customStyle="1" w:styleId="FooterChar">
    <w:name w:val="Footer Char"/>
    <w:basedOn w:val="DefaultParagraphFont"/>
    <w:link w:val="Footer"/>
    <w:uiPriority w:val="99"/>
    <w:rsid w:val="004D5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7"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12" w:unhideWhenUsed="0" w:qFormat="1"/>
    <w:lsdException w:name="Intense Quote" w:semiHidden="0" w:uiPriority="13"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1D13"/>
    <w:pPr>
      <w:spacing w:after="120"/>
    </w:pPr>
  </w:style>
  <w:style w:type="paragraph" w:styleId="Heading1">
    <w:name w:val="heading 1"/>
    <w:next w:val="Normal"/>
    <w:link w:val="Heading1Char"/>
    <w:uiPriority w:val="9"/>
    <w:qFormat/>
    <w:rsid w:val="00B31D13"/>
    <w:pPr>
      <w:keepNext/>
      <w:keepLines/>
      <w:spacing w:before="240" w:after="1200"/>
      <w:contextualSpacing/>
      <w:outlineLvl w:val="0"/>
    </w:pPr>
    <w:rPr>
      <w:rFonts w:asciiTheme="majorHAnsi" w:eastAsiaTheme="majorEastAsia" w:hAnsiTheme="majorHAnsi" w:cstheme="majorBidi"/>
      <w:bCs/>
      <w:color w:val="002776" w:themeColor="text2"/>
      <w:sz w:val="60"/>
      <w:szCs w:val="28"/>
    </w:rPr>
  </w:style>
  <w:style w:type="paragraph" w:styleId="Heading2">
    <w:name w:val="heading 2"/>
    <w:next w:val="Normal"/>
    <w:link w:val="Heading2Char"/>
    <w:uiPriority w:val="9"/>
    <w:semiHidden/>
    <w:unhideWhenUsed/>
    <w:qFormat/>
    <w:rsid w:val="00B31D13"/>
    <w:pPr>
      <w:numPr>
        <w:ilvl w:val="1"/>
      </w:numPr>
      <w:spacing w:before="240" w:after="120"/>
      <w:contextualSpacing/>
      <w:outlineLvl w:val="1"/>
    </w:pPr>
    <w:rPr>
      <w:b/>
      <w:color w:val="002776" w:themeColor="text2"/>
      <w:sz w:val="24"/>
      <w:szCs w:val="26"/>
    </w:rPr>
  </w:style>
  <w:style w:type="paragraph" w:styleId="Heading3">
    <w:name w:val="heading 3"/>
    <w:next w:val="Normal"/>
    <w:link w:val="Heading3Char"/>
    <w:uiPriority w:val="9"/>
    <w:semiHidden/>
    <w:unhideWhenUsed/>
    <w:qFormat/>
    <w:rsid w:val="00B31D13"/>
    <w:pPr>
      <w:numPr>
        <w:ilvl w:val="2"/>
      </w:numPr>
      <w:spacing w:before="240" w:after="120"/>
      <w:contextualSpacing/>
      <w:outlineLvl w:val="2"/>
    </w:pPr>
    <w:rPr>
      <w:rFonts w:eastAsiaTheme="majorEastAsia" w:cstheme="majorBidi"/>
      <w:b/>
      <w:bCs/>
      <w:color w:val="3C8A2E" w:themeColor="accent4"/>
      <w:sz w:val="24"/>
      <w:szCs w:val="28"/>
    </w:rPr>
  </w:style>
  <w:style w:type="paragraph" w:styleId="Heading4">
    <w:name w:val="heading 4"/>
    <w:next w:val="Normal"/>
    <w:link w:val="Heading4Char"/>
    <w:uiPriority w:val="9"/>
    <w:semiHidden/>
    <w:unhideWhenUsed/>
    <w:qFormat/>
    <w:rsid w:val="00B31D13"/>
    <w:pPr>
      <w:numPr>
        <w:ilvl w:val="3"/>
      </w:numPr>
      <w:spacing w:before="240" w:after="120"/>
      <w:contextualSpacing/>
      <w:outlineLvl w:val="3"/>
    </w:pPr>
    <w:rPr>
      <w:rFonts w:eastAsiaTheme="majorEastAsia" w:cstheme="majorBidi"/>
      <w:b/>
      <w:bCs/>
      <w:color w:val="00A1DE" w:themeColor="accent1"/>
      <w:sz w:val="24"/>
      <w:szCs w:val="28"/>
    </w:rPr>
  </w:style>
  <w:style w:type="paragraph" w:styleId="Heading5">
    <w:name w:val="heading 5"/>
    <w:next w:val="Normal"/>
    <w:link w:val="Heading5Char"/>
    <w:uiPriority w:val="9"/>
    <w:semiHidden/>
    <w:unhideWhenUsed/>
    <w:qFormat/>
    <w:rsid w:val="00B31D13"/>
    <w:pPr>
      <w:numPr>
        <w:ilvl w:val="4"/>
      </w:numPr>
      <w:spacing w:before="240" w:after="120"/>
      <w:contextualSpacing/>
      <w:outlineLvl w:val="4"/>
    </w:pPr>
    <w:rPr>
      <w:rFonts w:eastAsiaTheme="majorEastAsia" w:cstheme="majorBidi"/>
      <w:b/>
      <w:bCs/>
      <w:color w:val="92D400" w:themeColor="accent2"/>
      <w:sz w:val="24"/>
      <w:szCs w:val="28"/>
    </w:rPr>
  </w:style>
  <w:style w:type="paragraph" w:styleId="Heading6">
    <w:name w:val="heading 6"/>
    <w:next w:val="Normal"/>
    <w:link w:val="Heading6Char"/>
    <w:uiPriority w:val="9"/>
    <w:semiHidden/>
    <w:unhideWhenUsed/>
    <w:qFormat/>
    <w:rsid w:val="00B31D13"/>
    <w:pPr>
      <w:numPr>
        <w:ilvl w:val="5"/>
      </w:numPr>
      <w:spacing w:before="240" w:after="120"/>
      <w:contextualSpacing/>
      <w:outlineLvl w:val="5"/>
    </w:pPr>
    <w:rPr>
      <w:rFonts w:eastAsiaTheme="majorEastAsia" w:cstheme="majorBidi"/>
      <w:b/>
      <w:bCs/>
      <w:color w:val="72C7E7" w:themeColor="accent3"/>
      <w:sz w:val="24"/>
      <w:szCs w:val="28"/>
    </w:rPr>
  </w:style>
  <w:style w:type="paragraph" w:styleId="Heading7">
    <w:name w:val="heading 7"/>
    <w:next w:val="Normal"/>
    <w:link w:val="Heading7Char"/>
    <w:uiPriority w:val="9"/>
    <w:semiHidden/>
    <w:unhideWhenUsed/>
    <w:qFormat/>
    <w:rsid w:val="00B31D13"/>
    <w:pPr>
      <w:numPr>
        <w:ilvl w:val="6"/>
      </w:numPr>
      <w:spacing w:before="240" w:after="120"/>
      <w:contextualSpacing/>
      <w:outlineLvl w:val="6"/>
    </w:pPr>
    <w:rPr>
      <w:rFonts w:eastAsiaTheme="majorEastAsia" w:cstheme="majorBidi"/>
      <w:b/>
      <w:bCs/>
      <w:color w:val="C9DD03" w:themeColor="accent6"/>
      <w:sz w:val="24"/>
      <w:szCs w:val="28"/>
    </w:rPr>
  </w:style>
  <w:style w:type="paragraph" w:styleId="Heading8">
    <w:name w:val="heading 8"/>
    <w:next w:val="Normal"/>
    <w:link w:val="Heading8Char"/>
    <w:uiPriority w:val="9"/>
    <w:semiHidden/>
    <w:unhideWhenUsed/>
    <w:qFormat/>
    <w:rsid w:val="00B31D13"/>
    <w:pPr>
      <w:numPr>
        <w:ilvl w:val="7"/>
      </w:numPr>
      <w:spacing w:before="240" w:after="120"/>
      <w:contextualSpacing/>
      <w:outlineLvl w:val="7"/>
    </w:pPr>
    <w:rPr>
      <w:rFonts w:eastAsiaTheme="majorEastAsia" w:cstheme="majorBidi"/>
      <w:b/>
      <w:bCs/>
      <w:i/>
      <w:sz w:val="24"/>
      <w:szCs w:val="28"/>
    </w:rPr>
  </w:style>
  <w:style w:type="paragraph" w:styleId="Heading9">
    <w:name w:val="heading 9"/>
    <w:next w:val="Normal"/>
    <w:link w:val="Heading9Char"/>
    <w:uiPriority w:val="9"/>
    <w:semiHidden/>
    <w:unhideWhenUsed/>
    <w:qFormat/>
    <w:rsid w:val="00B31D13"/>
    <w:pPr>
      <w:numPr>
        <w:ilvl w:val="8"/>
      </w:numPr>
      <w:spacing w:before="240" w:after="120"/>
      <w:contextualSpacing/>
      <w:outlineLvl w:val="8"/>
    </w:pPr>
    <w:rPr>
      <w:rFonts w:eastAsiaTheme="majorEastAsia" w:cstheme="majorBidi"/>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D13"/>
    <w:rPr>
      <w:rFonts w:asciiTheme="majorHAnsi" w:eastAsiaTheme="majorEastAsia" w:hAnsiTheme="majorHAnsi" w:cstheme="majorBidi"/>
      <w:bCs/>
      <w:color w:val="002776" w:themeColor="text2"/>
      <w:sz w:val="60"/>
      <w:szCs w:val="28"/>
    </w:rPr>
  </w:style>
  <w:style w:type="character" w:customStyle="1" w:styleId="Heading2Char">
    <w:name w:val="Heading 2 Char"/>
    <w:basedOn w:val="DefaultParagraphFont"/>
    <w:link w:val="Heading2"/>
    <w:uiPriority w:val="9"/>
    <w:semiHidden/>
    <w:rsid w:val="00B31D13"/>
    <w:rPr>
      <w:b/>
      <w:color w:val="002776" w:themeColor="text2"/>
      <w:sz w:val="24"/>
      <w:szCs w:val="26"/>
    </w:rPr>
  </w:style>
  <w:style w:type="character" w:customStyle="1" w:styleId="Heading3Char">
    <w:name w:val="Heading 3 Char"/>
    <w:basedOn w:val="DefaultParagraphFont"/>
    <w:link w:val="Heading3"/>
    <w:uiPriority w:val="9"/>
    <w:semiHidden/>
    <w:rsid w:val="00B31D13"/>
    <w:rPr>
      <w:rFonts w:eastAsiaTheme="majorEastAsia" w:cstheme="majorBidi"/>
      <w:b/>
      <w:bCs/>
      <w:color w:val="3C8A2E" w:themeColor="accent4"/>
      <w:sz w:val="24"/>
      <w:szCs w:val="28"/>
    </w:rPr>
  </w:style>
  <w:style w:type="character" w:customStyle="1" w:styleId="Heading4Char">
    <w:name w:val="Heading 4 Char"/>
    <w:basedOn w:val="DefaultParagraphFont"/>
    <w:link w:val="Heading4"/>
    <w:uiPriority w:val="9"/>
    <w:semiHidden/>
    <w:rsid w:val="00B31D13"/>
    <w:rPr>
      <w:rFonts w:eastAsiaTheme="majorEastAsia" w:cstheme="majorBidi"/>
      <w:b/>
      <w:bCs/>
      <w:color w:val="00A1DE" w:themeColor="accent1"/>
      <w:sz w:val="24"/>
      <w:szCs w:val="28"/>
    </w:rPr>
  </w:style>
  <w:style w:type="character" w:customStyle="1" w:styleId="Heading5Char">
    <w:name w:val="Heading 5 Char"/>
    <w:basedOn w:val="DefaultParagraphFont"/>
    <w:link w:val="Heading5"/>
    <w:uiPriority w:val="9"/>
    <w:semiHidden/>
    <w:rsid w:val="00B31D13"/>
    <w:rPr>
      <w:rFonts w:eastAsiaTheme="majorEastAsia" w:cstheme="majorBidi"/>
      <w:b/>
      <w:bCs/>
      <w:color w:val="92D400" w:themeColor="accent2"/>
      <w:sz w:val="24"/>
      <w:szCs w:val="28"/>
    </w:rPr>
  </w:style>
  <w:style w:type="character" w:customStyle="1" w:styleId="Heading6Char">
    <w:name w:val="Heading 6 Char"/>
    <w:basedOn w:val="DefaultParagraphFont"/>
    <w:link w:val="Heading6"/>
    <w:uiPriority w:val="9"/>
    <w:semiHidden/>
    <w:rsid w:val="00B31D13"/>
    <w:rPr>
      <w:rFonts w:eastAsiaTheme="majorEastAsia" w:cstheme="majorBidi"/>
      <w:b/>
      <w:bCs/>
      <w:color w:val="72C7E7" w:themeColor="accent3"/>
      <w:sz w:val="24"/>
      <w:szCs w:val="28"/>
    </w:rPr>
  </w:style>
  <w:style w:type="character" w:customStyle="1" w:styleId="Heading7Char">
    <w:name w:val="Heading 7 Char"/>
    <w:basedOn w:val="DefaultParagraphFont"/>
    <w:link w:val="Heading7"/>
    <w:uiPriority w:val="9"/>
    <w:semiHidden/>
    <w:rsid w:val="00B31D13"/>
    <w:rPr>
      <w:rFonts w:eastAsiaTheme="majorEastAsia" w:cstheme="majorBidi"/>
      <w:b/>
      <w:bCs/>
      <w:color w:val="C9DD03" w:themeColor="accent6"/>
      <w:sz w:val="24"/>
      <w:szCs w:val="28"/>
    </w:rPr>
  </w:style>
  <w:style w:type="character" w:customStyle="1" w:styleId="Heading8Char">
    <w:name w:val="Heading 8 Char"/>
    <w:basedOn w:val="DefaultParagraphFont"/>
    <w:link w:val="Heading8"/>
    <w:uiPriority w:val="9"/>
    <w:semiHidden/>
    <w:rsid w:val="00B31D13"/>
    <w:rPr>
      <w:rFonts w:eastAsiaTheme="majorEastAsia" w:cstheme="majorBidi"/>
      <w:b/>
      <w:bCs/>
      <w:i/>
      <w:sz w:val="24"/>
      <w:szCs w:val="28"/>
    </w:rPr>
  </w:style>
  <w:style w:type="character" w:customStyle="1" w:styleId="Heading9Char">
    <w:name w:val="Heading 9 Char"/>
    <w:basedOn w:val="DefaultParagraphFont"/>
    <w:link w:val="Heading9"/>
    <w:uiPriority w:val="9"/>
    <w:semiHidden/>
    <w:rsid w:val="00B31D13"/>
    <w:rPr>
      <w:rFonts w:eastAsiaTheme="majorEastAsia" w:cstheme="majorBidi"/>
      <w:bCs/>
      <w:i/>
      <w:sz w:val="24"/>
      <w:szCs w:val="28"/>
    </w:rPr>
  </w:style>
  <w:style w:type="paragraph" w:styleId="TOC1">
    <w:name w:val="toc 1"/>
    <w:basedOn w:val="Normal"/>
    <w:next w:val="Normal"/>
    <w:autoRedefine/>
    <w:uiPriority w:val="39"/>
    <w:semiHidden/>
    <w:unhideWhenUsed/>
    <w:qFormat/>
    <w:rsid w:val="00B31D13"/>
  </w:style>
  <w:style w:type="paragraph" w:styleId="TOC2">
    <w:name w:val="toc 2"/>
    <w:basedOn w:val="TOC1"/>
    <w:next w:val="Normal"/>
    <w:autoRedefine/>
    <w:uiPriority w:val="39"/>
    <w:semiHidden/>
    <w:unhideWhenUsed/>
    <w:qFormat/>
    <w:rsid w:val="00B31D13"/>
    <w:pPr>
      <w:ind w:left="142"/>
    </w:pPr>
  </w:style>
  <w:style w:type="paragraph" w:styleId="TOC3">
    <w:name w:val="toc 3"/>
    <w:basedOn w:val="TOC1"/>
    <w:next w:val="Normal"/>
    <w:autoRedefine/>
    <w:uiPriority w:val="39"/>
    <w:semiHidden/>
    <w:unhideWhenUsed/>
    <w:qFormat/>
    <w:rsid w:val="00B31D13"/>
    <w:pPr>
      <w:ind w:left="284"/>
    </w:pPr>
  </w:style>
  <w:style w:type="paragraph" w:styleId="Caption">
    <w:name w:val="caption"/>
    <w:basedOn w:val="Normal"/>
    <w:uiPriority w:val="37"/>
    <w:semiHidden/>
    <w:qFormat/>
    <w:rsid w:val="00B31D13"/>
    <w:pPr>
      <w:spacing w:after="0"/>
    </w:pPr>
    <w:rPr>
      <w:b/>
      <w:bCs/>
      <w:sz w:val="16"/>
      <w:szCs w:val="18"/>
    </w:rPr>
  </w:style>
  <w:style w:type="paragraph" w:styleId="Title">
    <w:name w:val="Title"/>
    <w:next w:val="Subtitle"/>
    <w:link w:val="TitleChar"/>
    <w:uiPriority w:val="10"/>
    <w:qFormat/>
    <w:rsid w:val="00B31D13"/>
    <w:pPr>
      <w:framePr w:wrap="notBeside" w:vAnchor="text" w:hAnchor="text" w:y="1"/>
      <w:spacing w:before="1200" w:after="240"/>
      <w:contextualSpacing/>
    </w:pPr>
    <w:rPr>
      <w:rFonts w:asciiTheme="majorHAnsi" w:eastAsiaTheme="majorEastAsia" w:hAnsiTheme="majorHAnsi" w:cstheme="majorBidi"/>
      <w:bCs/>
      <w:color w:val="002776" w:themeColor="text2"/>
      <w:sz w:val="72"/>
      <w:szCs w:val="28"/>
    </w:rPr>
  </w:style>
  <w:style w:type="character" w:customStyle="1" w:styleId="TitleChar">
    <w:name w:val="Title Char"/>
    <w:basedOn w:val="DefaultParagraphFont"/>
    <w:link w:val="Title"/>
    <w:uiPriority w:val="10"/>
    <w:rsid w:val="00B31D13"/>
    <w:rPr>
      <w:rFonts w:asciiTheme="majorHAnsi" w:eastAsiaTheme="majorEastAsia" w:hAnsiTheme="majorHAnsi" w:cstheme="majorBidi"/>
      <w:bCs/>
      <w:color w:val="002776" w:themeColor="text2"/>
      <w:sz w:val="72"/>
      <w:szCs w:val="28"/>
    </w:rPr>
  </w:style>
  <w:style w:type="paragraph" w:styleId="Subtitle">
    <w:name w:val="Subtitle"/>
    <w:basedOn w:val="Title"/>
    <w:next w:val="Normal"/>
    <w:link w:val="SubtitleChar"/>
    <w:uiPriority w:val="11"/>
    <w:qFormat/>
    <w:rsid w:val="00B31D13"/>
    <w:pPr>
      <w:framePr w:wrap="notBeside"/>
      <w:spacing w:before="0" w:after="1200"/>
    </w:pPr>
    <w:rPr>
      <w:color w:val="92D400" w:themeColor="accent2"/>
    </w:rPr>
  </w:style>
  <w:style w:type="character" w:customStyle="1" w:styleId="SubtitleChar">
    <w:name w:val="Subtitle Char"/>
    <w:basedOn w:val="DefaultParagraphFont"/>
    <w:link w:val="Subtitle"/>
    <w:uiPriority w:val="11"/>
    <w:rsid w:val="00B31D13"/>
    <w:rPr>
      <w:rFonts w:asciiTheme="majorHAnsi" w:eastAsiaTheme="majorEastAsia" w:hAnsiTheme="majorHAnsi" w:cstheme="majorBidi"/>
      <w:bCs/>
      <w:color w:val="92D400" w:themeColor="accent2"/>
      <w:sz w:val="72"/>
      <w:szCs w:val="28"/>
    </w:rPr>
  </w:style>
  <w:style w:type="paragraph" w:styleId="Quote">
    <w:name w:val="Quote"/>
    <w:link w:val="QuoteChar"/>
    <w:uiPriority w:val="12"/>
    <w:qFormat/>
    <w:rsid w:val="00B31D13"/>
    <w:pPr>
      <w:framePr w:wrap="notBeside" w:vAnchor="text" w:hAnchor="text" w:y="1"/>
      <w:spacing w:before="360" w:after="360"/>
      <w:contextualSpacing/>
    </w:pPr>
    <w:rPr>
      <w:rFonts w:asciiTheme="majorHAnsi" w:eastAsiaTheme="majorEastAsia" w:hAnsiTheme="majorHAnsi" w:cstheme="majorBidi"/>
      <w:bCs/>
      <w:color w:val="00A1DE" w:themeColor="accent1"/>
      <w:sz w:val="32"/>
      <w:szCs w:val="28"/>
    </w:rPr>
  </w:style>
  <w:style w:type="character" w:customStyle="1" w:styleId="QuoteChar">
    <w:name w:val="Quote Char"/>
    <w:basedOn w:val="DefaultParagraphFont"/>
    <w:link w:val="Quote"/>
    <w:uiPriority w:val="12"/>
    <w:rsid w:val="00B31D13"/>
    <w:rPr>
      <w:rFonts w:asciiTheme="majorHAnsi" w:eastAsiaTheme="majorEastAsia" w:hAnsiTheme="majorHAnsi" w:cstheme="majorBidi"/>
      <w:bCs/>
      <w:color w:val="00A1DE" w:themeColor="accent1"/>
      <w:sz w:val="32"/>
      <w:szCs w:val="28"/>
    </w:rPr>
  </w:style>
  <w:style w:type="paragraph" w:styleId="IntenseQuote">
    <w:name w:val="Intense Quote"/>
    <w:basedOn w:val="Quote"/>
    <w:link w:val="IntenseQuoteChar"/>
    <w:uiPriority w:val="13"/>
    <w:qFormat/>
    <w:rsid w:val="00B31D13"/>
    <w:pPr>
      <w:framePr w:wrap="notBeside"/>
    </w:pPr>
    <w:rPr>
      <w:color w:val="3C8A2E" w:themeColor="accent4"/>
    </w:rPr>
  </w:style>
  <w:style w:type="character" w:customStyle="1" w:styleId="IntenseQuoteChar">
    <w:name w:val="Intense Quote Char"/>
    <w:basedOn w:val="DefaultParagraphFont"/>
    <w:link w:val="IntenseQuote"/>
    <w:uiPriority w:val="13"/>
    <w:rsid w:val="00B31D13"/>
    <w:rPr>
      <w:rFonts w:asciiTheme="majorHAnsi" w:eastAsiaTheme="majorEastAsia" w:hAnsiTheme="majorHAnsi" w:cstheme="majorBidi"/>
      <w:bCs/>
      <w:color w:val="3C8A2E" w:themeColor="accent4"/>
      <w:sz w:val="32"/>
      <w:szCs w:val="28"/>
    </w:rPr>
  </w:style>
  <w:style w:type="paragraph" w:styleId="TOCHeading">
    <w:name w:val="TOC Heading"/>
    <w:basedOn w:val="Heading1"/>
    <w:next w:val="Normal"/>
    <w:uiPriority w:val="39"/>
    <w:semiHidden/>
    <w:unhideWhenUsed/>
    <w:qFormat/>
    <w:rsid w:val="00B31D13"/>
    <w:pPr>
      <w:outlineLvl w:val="9"/>
    </w:pPr>
    <w:rPr>
      <w:color w:val="00A1DE" w:themeColor="accent1"/>
    </w:rPr>
  </w:style>
  <w:style w:type="paragraph" w:styleId="NormalWeb">
    <w:name w:val="Normal (Web)"/>
    <w:basedOn w:val="Normal"/>
    <w:uiPriority w:val="99"/>
    <w:unhideWhenUsed/>
    <w:rsid w:val="00C628E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628E9"/>
    <w:rPr>
      <w:b/>
      <w:bCs/>
    </w:rPr>
  </w:style>
  <w:style w:type="paragraph" w:styleId="Header">
    <w:name w:val="header"/>
    <w:basedOn w:val="Normal"/>
    <w:link w:val="HeaderChar"/>
    <w:uiPriority w:val="99"/>
    <w:unhideWhenUsed/>
    <w:rsid w:val="004D50C9"/>
    <w:pPr>
      <w:tabs>
        <w:tab w:val="center" w:pos="4320"/>
        <w:tab w:val="right" w:pos="8640"/>
      </w:tabs>
      <w:spacing w:after="0"/>
    </w:pPr>
  </w:style>
  <w:style w:type="character" w:customStyle="1" w:styleId="HeaderChar">
    <w:name w:val="Header Char"/>
    <w:basedOn w:val="DefaultParagraphFont"/>
    <w:link w:val="Header"/>
    <w:uiPriority w:val="99"/>
    <w:rsid w:val="004D50C9"/>
  </w:style>
  <w:style w:type="paragraph" w:styleId="Footer">
    <w:name w:val="footer"/>
    <w:basedOn w:val="Normal"/>
    <w:link w:val="FooterChar"/>
    <w:uiPriority w:val="99"/>
    <w:unhideWhenUsed/>
    <w:rsid w:val="004D50C9"/>
    <w:pPr>
      <w:tabs>
        <w:tab w:val="center" w:pos="4320"/>
        <w:tab w:val="right" w:pos="8640"/>
      </w:tabs>
      <w:spacing w:after="0"/>
    </w:pPr>
  </w:style>
  <w:style w:type="character" w:customStyle="1" w:styleId="FooterChar">
    <w:name w:val="Footer Char"/>
    <w:basedOn w:val="DefaultParagraphFont"/>
    <w:link w:val="Footer"/>
    <w:uiPriority w:val="99"/>
    <w:rsid w:val="004D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loitte">
  <a:themeElements>
    <a:clrScheme name="Deloitte new">
      <a:dk1>
        <a:srgbClr val="000000"/>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Deloitt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solidFill>
            <a:schemeClr val="tx2"/>
          </a:solid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spcAft>
            <a:spcPts val="300"/>
          </a:spcAft>
          <a:defRPr dirty="0" smtClean="0">
            <a:solidFill>
              <a:schemeClr val="tx2"/>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676</Words>
  <Characters>3859</Characters>
  <Application>Microsoft Office Word</Application>
  <DocSecurity>0</DocSecurity>
  <Lines>32</Lines>
  <Paragraphs>9</Paragraphs>
  <ScaleCrop>false</ScaleCrop>
  <Company>Deloitte Touche Tohmatsu Services, Inc.</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Li</dc:creator>
  <cp:lastModifiedBy>Andy Li</cp:lastModifiedBy>
  <cp:revision>2</cp:revision>
  <dcterms:created xsi:type="dcterms:W3CDTF">2011-11-18T01:25:00Z</dcterms:created>
  <dcterms:modified xsi:type="dcterms:W3CDTF">2011-11-18T01:28:00Z</dcterms:modified>
</cp:coreProperties>
</file>